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黑体" w:hAnsi="黑体" w:eastAsia="黑体" w:cs="黑体"/>
          <w:b w:val="0"/>
          <w:bCs/>
          <w:i w:val="0"/>
          <w:caps w:val="0"/>
          <w:color w:val="auto"/>
          <w:spacing w:val="0"/>
          <w:sz w:val="36"/>
          <w:szCs w:val="36"/>
        </w:rPr>
      </w:pPr>
      <w:r>
        <w:rPr>
          <w:rFonts w:hint="eastAsia" w:ascii="黑体" w:hAnsi="黑体" w:eastAsia="黑体" w:cs="黑体"/>
          <w:b w:val="0"/>
          <w:bCs/>
          <w:i w:val="0"/>
          <w:caps w:val="0"/>
          <w:color w:val="auto"/>
          <w:spacing w:val="0"/>
          <w:kern w:val="0"/>
          <w:sz w:val="36"/>
          <w:szCs w:val="36"/>
          <w:shd w:val="clear" w:fill="FFFFFF"/>
          <w:lang w:val="en-US" w:eastAsia="zh-CN" w:bidi="ar"/>
        </w:rPr>
        <w:t>基金参与融资融券及转融通证券出借业务指引</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right="0" w:rightChars="0"/>
        <w:jc w:val="center"/>
        <w:textAlignment w:val="auto"/>
        <w:outlineLvl w:val="9"/>
        <w:rPr>
          <w:rFonts w:hint="eastAsia" w:ascii="仿宋" w:hAnsi="仿宋" w:eastAsia="仿宋" w:cs="仿宋"/>
          <w:b w:val="0"/>
          <w:bCs/>
          <w:sz w:val="21"/>
          <w:szCs w:val="21"/>
        </w:rPr>
      </w:pPr>
      <w:bookmarkStart w:id="0" w:name="_GoBack"/>
      <w:r>
        <w:rPr>
          <w:rFonts w:hint="eastAsia" w:ascii="仿宋" w:hAnsi="仿宋" w:eastAsia="仿宋" w:cs="仿宋"/>
          <w:b w:val="0"/>
          <w:bCs/>
          <w:i w:val="0"/>
          <w:caps w:val="0"/>
          <w:color w:val="000000"/>
          <w:spacing w:val="0"/>
          <w:sz w:val="21"/>
          <w:szCs w:val="21"/>
          <w:shd w:val="clear" w:fill="FFFFFF"/>
        </w:rPr>
        <w:t>（</w:t>
      </w:r>
      <w:r>
        <w:rPr>
          <w:rFonts w:hint="eastAsia" w:ascii="仿宋" w:hAnsi="仿宋" w:eastAsia="仿宋" w:cs="仿宋"/>
          <w:b w:val="0"/>
          <w:bCs/>
          <w:i w:val="0"/>
          <w:caps w:val="0"/>
          <w:color w:val="000000"/>
          <w:spacing w:val="0"/>
          <w:sz w:val="21"/>
          <w:szCs w:val="21"/>
          <w:shd w:val="clear" w:fill="FFFFFF"/>
          <w:lang w:val="en-US"/>
        </w:rPr>
        <w:t>2015</w:t>
      </w:r>
      <w:r>
        <w:rPr>
          <w:rFonts w:hint="eastAsia" w:ascii="仿宋" w:hAnsi="仿宋" w:eastAsia="仿宋" w:cs="仿宋"/>
          <w:b w:val="0"/>
          <w:bCs/>
          <w:i w:val="0"/>
          <w:caps w:val="0"/>
          <w:color w:val="000000"/>
          <w:spacing w:val="0"/>
          <w:sz w:val="21"/>
          <w:szCs w:val="21"/>
          <w:shd w:val="clear" w:fill="FFFFFF"/>
        </w:rPr>
        <w:t>年</w:t>
      </w:r>
      <w:r>
        <w:rPr>
          <w:rFonts w:hint="eastAsia" w:ascii="仿宋" w:hAnsi="仿宋" w:eastAsia="仿宋" w:cs="仿宋"/>
          <w:b w:val="0"/>
          <w:bCs/>
          <w:i w:val="0"/>
          <w:caps w:val="0"/>
          <w:color w:val="000000"/>
          <w:spacing w:val="0"/>
          <w:sz w:val="21"/>
          <w:szCs w:val="21"/>
          <w:shd w:val="clear" w:fill="FFFFFF"/>
          <w:lang w:val="en-US"/>
        </w:rPr>
        <w:t>4</w:t>
      </w:r>
      <w:r>
        <w:rPr>
          <w:rFonts w:hint="eastAsia" w:ascii="仿宋" w:hAnsi="仿宋" w:eastAsia="仿宋" w:cs="仿宋"/>
          <w:b w:val="0"/>
          <w:bCs/>
          <w:i w:val="0"/>
          <w:caps w:val="0"/>
          <w:color w:val="000000"/>
          <w:spacing w:val="0"/>
          <w:sz w:val="21"/>
          <w:szCs w:val="21"/>
          <w:shd w:val="clear" w:fill="FFFFFF"/>
        </w:rPr>
        <w:t>月</w:t>
      </w:r>
      <w:r>
        <w:rPr>
          <w:rFonts w:hint="eastAsia" w:ascii="仿宋" w:hAnsi="仿宋" w:eastAsia="仿宋" w:cs="仿宋"/>
          <w:b w:val="0"/>
          <w:bCs/>
          <w:i w:val="0"/>
          <w:caps w:val="0"/>
          <w:color w:val="000000"/>
          <w:spacing w:val="0"/>
          <w:sz w:val="21"/>
          <w:szCs w:val="21"/>
          <w:shd w:val="clear" w:fill="FFFFFF"/>
          <w:lang w:val="en-US"/>
        </w:rPr>
        <w:t>17</w:t>
      </w:r>
      <w:r>
        <w:rPr>
          <w:rFonts w:hint="eastAsia" w:ascii="仿宋" w:hAnsi="仿宋" w:eastAsia="仿宋" w:cs="仿宋"/>
          <w:b w:val="0"/>
          <w:bCs/>
          <w:i w:val="0"/>
          <w:caps w:val="0"/>
          <w:color w:val="000000"/>
          <w:spacing w:val="0"/>
          <w:sz w:val="21"/>
          <w:szCs w:val="21"/>
          <w:shd w:val="clear" w:fill="FFFFFF"/>
        </w:rPr>
        <w:t>日第五届常务理事会第三十四次会议表决通过，</w:t>
      </w:r>
      <w:r>
        <w:rPr>
          <w:rFonts w:hint="eastAsia" w:ascii="仿宋" w:hAnsi="仿宋" w:eastAsia="仿宋" w:cs="仿宋"/>
          <w:b w:val="0"/>
          <w:bCs/>
          <w:i w:val="0"/>
          <w:caps w:val="0"/>
          <w:color w:val="000000"/>
          <w:spacing w:val="0"/>
          <w:sz w:val="21"/>
          <w:szCs w:val="21"/>
          <w:shd w:val="clear" w:fill="FFFFFF"/>
          <w:lang w:val="en-US"/>
        </w:rPr>
        <w:t> 2015</w:t>
      </w:r>
      <w:r>
        <w:rPr>
          <w:rFonts w:hint="eastAsia" w:ascii="仿宋" w:hAnsi="仿宋" w:eastAsia="仿宋" w:cs="仿宋"/>
          <w:b w:val="0"/>
          <w:bCs/>
          <w:i w:val="0"/>
          <w:caps w:val="0"/>
          <w:color w:val="000000"/>
          <w:spacing w:val="0"/>
          <w:sz w:val="21"/>
          <w:szCs w:val="21"/>
          <w:shd w:val="clear" w:fill="FFFFFF"/>
        </w:rPr>
        <w:t>年</w:t>
      </w:r>
      <w:r>
        <w:rPr>
          <w:rFonts w:hint="eastAsia" w:ascii="仿宋" w:hAnsi="仿宋" w:eastAsia="仿宋" w:cs="仿宋"/>
          <w:b w:val="0"/>
          <w:bCs/>
          <w:i w:val="0"/>
          <w:caps w:val="0"/>
          <w:color w:val="000000"/>
          <w:spacing w:val="0"/>
          <w:sz w:val="21"/>
          <w:szCs w:val="21"/>
          <w:shd w:val="clear" w:fill="FFFFFF"/>
          <w:lang w:val="en-US"/>
        </w:rPr>
        <w:t>4</w:t>
      </w:r>
      <w:r>
        <w:rPr>
          <w:rFonts w:hint="eastAsia" w:ascii="仿宋" w:hAnsi="仿宋" w:eastAsia="仿宋" w:cs="仿宋"/>
          <w:b w:val="0"/>
          <w:bCs/>
          <w:i w:val="0"/>
          <w:caps w:val="0"/>
          <w:color w:val="000000"/>
          <w:spacing w:val="0"/>
          <w:sz w:val="21"/>
          <w:szCs w:val="21"/>
          <w:shd w:val="clear" w:fill="FFFFFF"/>
        </w:rPr>
        <w:t>月</w:t>
      </w:r>
      <w:r>
        <w:rPr>
          <w:rFonts w:hint="eastAsia" w:ascii="仿宋" w:hAnsi="仿宋" w:eastAsia="仿宋" w:cs="仿宋"/>
          <w:b w:val="0"/>
          <w:bCs/>
          <w:i w:val="0"/>
          <w:caps w:val="0"/>
          <w:color w:val="000000"/>
          <w:spacing w:val="0"/>
          <w:sz w:val="21"/>
          <w:szCs w:val="21"/>
          <w:shd w:val="clear" w:fill="FFFFFF"/>
          <w:lang w:val="en-US"/>
        </w:rPr>
        <w:t>17</w:t>
      </w:r>
      <w:r>
        <w:rPr>
          <w:rFonts w:hint="eastAsia" w:ascii="仿宋" w:hAnsi="仿宋" w:eastAsia="仿宋" w:cs="仿宋"/>
          <w:b w:val="0"/>
          <w:bCs/>
          <w:i w:val="0"/>
          <w:caps w:val="0"/>
          <w:color w:val="000000"/>
          <w:spacing w:val="0"/>
          <w:sz w:val="21"/>
          <w:szCs w:val="21"/>
          <w:shd w:val="clear" w:fill="FFFFFF"/>
        </w:rPr>
        <w:t>日发布）</w:t>
      </w:r>
    </w:p>
    <w:bookmarkEnd w:id="0"/>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auto"/>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auto"/>
          <w:spacing w:val="0"/>
          <w:sz w:val="30"/>
          <w:szCs w:val="30"/>
          <w:shd w:val="clear" w:fill="FFFFFF"/>
        </w:rPr>
        <w:t>第一条 【法律依据】</w:t>
      </w:r>
      <w:r>
        <w:rPr>
          <w:rFonts w:hint="eastAsia" w:ascii="仿宋" w:hAnsi="仿宋" w:eastAsia="仿宋" w:cs="仿宋"/>
          <w:b w:val="0"/>
          <w:i w:val="0"/>
          <w:caps w:val="0"/>
          <w:color w:val="auto"/>
          <w:spacing w:val="0"/>
          <w:sz w:val="30"/>
          <w:szCs w:val="30"/>
          <w:shd w:val="clear" w:fill="FFFFFF"/>
        </w:rPr>
        <w:t>为规范公开募集证券投资基金（以下简称基金）参与融资融券及转融通证券出借交易的行为，防范投资风险，保护基金份额持有人的合法权益，根据《证券投资基金法》、《公开募集证券投资基金运作管理办法》（证监会令第</w:t>
      </w:r>
      <w:r>
        <w:rPr>
          <w:rFonts w:hint="eastAsia" w:ascii="仿宋" w:hAnsi="仿宋" w:eastAsia="仿宋" w:cs="仿宋"/>
          <w:b w:val="0"/>
          <w:i w:val="0"/>
          <w:caps w:val="0"/>
          <w:color w:val="auto"/>
          <w:spacing w:val="0"/>
          <w:sz w:val="30"/>
          <w:szCs w:val="30"/>
          <w:shd w:val="clear" w:fill="FFFFFF"/>
          <w:lang w:val="en-US"/>
        </w:rPr>
        <w:t>104</w:t>
      </w:r>
      <w:r>
        <w:rPr>
          <w:rFonts w:hint="eastAsia" w:ascii="仿宋" w:hAnsi="仿宋" w:eastAsia="仿宋" w:cs="仿宋"/>
          <w:b w:val="0"/>
          <w:i w:val="0"/>
          <w:caps w:val="0"/>
          <w:color w:val="auto"/>
          <w:spacing w:val="0"/>
          <w:sz w:val="30"/>
          <w:szCs w:val="30"/>
          <w:shd w:val="clear" w:fill="FFFFFF"/>
        </w:rPr>
        <w:t>号）等法律法规和行业协会相关自律规则，制定本指引。</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auto"/>
          <w:spacing w:val="0"/>
          <w:sz w:val="30"/>
          <w:szCs w:val="30"/>
          <w:shd w:val="clear" w:fill="FFFFFF"/>
        </w:rPr>
        <w:t>第二条 【业务定义】</w:t>
      </w:r>
      <w:r>
        <w:rPr>
          <w:rFonts w:hint="eastAsia" w:ascii="仿宋" w:hAnsi="仿宋" w:eastAsia="仿宋" w:cs="仿宋"/>
          <w:b w:val="0"/>
          <w:i w:val="0"/>
          <w:caps w:val="0"/>
          <w:color w:val="auto"/>
          <w:spacing w:val="0"/>
          <w:sz w:val="30"/>
          <w:szCs w:val="30"/>
          <w:shd w:val="clear" w:fill="FFFFFF"/>
        </w:rPr>
        <w:t>本指引所称融资融券交易及转融通证券出借交易根据《证券公司融资融券业务管理办法》、《转融通业务监督管理试行办法》定义。</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auto"/>
          <w:spacing w:val="0"/>
          <w:sz w:val="30"/>
          <w:szCs w:val="30"/>
          <w:shd w:val="clear" w:fill="FFFFFF"/>
        </w:rPr>
        <w:t>第三条 【参与原则】</w:t>
      </w:r>
      <w:r>
        <w:rPr>
          <w:rFonts w:hint="eastAsia" w:ascii="仿宋" w:hAnsi="仿宋" w:eastAsia="仿宋" w:cs="仿宋"/>
          <w:b w:val="0"/>
          <w:i w:val="0"/>
          <w:caps w:val="0"/>
          <w:color w:val="auto"/>
          <w:spacing w:val="0"/>
          <w:sz w:val="30"/>
          <w:szCs w:val="30"/>
          <w:shd w:val="clear" w:fill="FFFFFF"/>
        </w:rPr>
        <w:t>基金管理人运用基金财产参与融资融券及转融通证券出借交易，应当依据基金合同、招募说明书等约定，遵守审慎经营原则，制订科学合理的投资策略和风险管理制度，有效防范和控制风险，切实维护基金财产的安全和基金份额持有人利益。</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auto"/>
          <w:spacing w:val="0"/>
          <w:sz w:val="30"/>
          <w:szCs w:val="30"/>
          <w:shd w:val="clear" w:fill="FFFFFF"/>
        </w:rPr>
        <w:t>第四条 【参与范围和比例】</w:t>
      </w:r>
      <w:r>
        <w:rPr>
          <w:rFonts w:hint="eastAsia" w:ascii="仿宋" w:hAnsi="仿宋" w:eastAsia="仿宋" w:cs="仿宋"/>
          <w:b w:val="0"/>
          <w:i w:val="0"/>
          <w:caps w:val="0"/>
          <w:color w:val="auto"/>
          <w:spacing w:val="0"/>
          <w:sz w:val="30"/>
          <w:szCs w:val="30"/>
          <w:shd w:val="clear" w:fill="FFFFFF"/>
        </w:rPr>
        <w:t>基金参与融资融券交易及转融通证券出借交易，除中国证监会另有规定或批准的特殊基金品种外，应当遵守下列要求：</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auto"/>
          <w:spacing w:val="0"/>
          <w:sz w:val="30"/>
          <w:szCs w:val="30"/>
          <w:shd w:val="clear" w:fill="FFFFFF"/>
        </w:rPr>
        <w:t>（一）股票型基金、混合型基金可以参与融资业务。基金参与融资业务后，在任何交易日日终，股票型、混合型基金持有的融资买入股票与其他有价证券市值之和，不得超过基金资产净值的</w:t>
      </w:r>
      <w:r>
        <w:rPr>
          <w:rFonts w:hint="eastAsia" w:ascii="仿宋" w:hAnsi="仿宋" w:eastAsia="仿宋" w:cs="仿宋"/>
          <w:b w:val="0"/>
          <w:i w:val="0"/>
          <w:caps w:val="0"/>
          <w:color w:val="auto"/>
          <w:spacing w:val="0"/>
          <w:sz w:val="30"/>
          <w:szCs w:val="30"/>
          <w:shd w:val="clear" w:fill="FFFFFF"/>
          <w:lang w:val="en-US"/>
        </w:rPr>
        <w:t>95%</w:t>
      </w:r>
      <w:r>
        <w:rPr>
          <w:rFonts w:hint="eastAsia" w:ascii="仿宋" w:hAnsi="仿宋" w:eastAsia="仿宋" w:cs="仿宋"/>
          <w:b w:val="0"/>
          <w:i w:val="0"/>
          <w:caps w:val="0"/>
          <w:color w:val="auto"/>
          <w:spacing w:val="0"/>
          <w:sz w:val="30"/>
          <w:szCs w:val="30"/>
          <w:shd w:val="clear" w:fill="FFFFFF"/>
        </w:rPr>
        <w:t>。</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auto"/>
          <w:spacing w:val="0"/>
          <w:sz w:val="30"/>
          <w:szCs w:val="30"/>
          <w:shd w:val="clear" w:fill="FFFFFF"/>
        </w:rPr>
        <w:t>（二）采用绝对收益、对冲策略的基金可以参与融券交易。基金参与融券交易，融券资产净值不得高于基金资产净</w:t>
      </w:r>
      <w:r>
        <w:rPr>
          <w:rFonts w:hint="eastAsia" w:ascii="仿宋" w:hAnsi="仿宋" w:eastAsia="仿宋" w:cs="仿宋"/>
          <w:b w:val="0"/>
          <w:i w:val="0"/>
          <w:caps w:val="0"/>
          <w:color w:val="000000"/>
          <w:spacing w:val="0"/>
          <w:sz w:val="30"/>
          <w:szCs w:val="30"/>
          <w:shd w:val="clear" w:fill="FFFFFF"/>
        </w:rPr>
        <w:t>值的</w:t>
      </w:r>
      <w:r>
        <w:rPr>
          <w:rFonts w:hint="eastAsia" w:ascii="仿宋" w:hAnsi="仿宋" w:eastAsia="仿宋" w:cs="仿宋"/>
          <w:b w:val="0"/>
          <w:i w:val="0"/>
          <w:caps w:val="0"/>
          <w:color w:val="000000"/>
          <w:spacing w:val="0"/>
          <w:sz w:val="30"/>
          <w:szCs w:val="30"/>
          <w:shd w:val="clear" w:fill="FFFFFF"/>
          <w:lang w:val="en-US"/>
        </w:rPr>
        <w:t>33%</w:t>
      </w:r>
      <w:r>
        <w:rPr>
          <w:rFonts w:hint="eastAsia" w:ascii="仿宋" w:hAnsi="仿宋" w:eastAsia="仿宋" w:cs="仿宋"/>
          <w:b w:val="0"/>
          <w:i w:val="0"/>
          <w:caps w:val="0"/>
          <w:color w:val="000000"/>
          <w:spacing w:val="0"/>
          <w:sz w:val="30"/>
          <w:szCs w:val="30"/>
          <w:shd w:val="clear" w:fill="FFFFFF"/>
        </w:rPr>
        <w:t>。</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封闭式股票基金、开放式指数基金（含增强型）、交易型开放式指数基金（ETF）可以参与转融通证券出借业务。基金参与转融通证券出借交易，在任何交易日日终，参与转融通证券出借交易的资产不得超过基金资产净值的50%，证券出借的平均剩余期限不得超过30天，平均剩余期限按照市值加权平均计算。</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第五条 【老基金参与】</w:t>
      </w:r>
      <w:r>
        <w:rPr>
          <w:rFonts w:hint="eastAsia" w:ascii="仿宋" w:hAnsi="仿宋" w:eastAsia="仿宋" w:cs="仿宋"/>
          <w:b w:val="0"/>
          <w:i w:val="0"/>
          <w:caps w:val="0"/>
          <w:color w:val="000000"/>
          <w:spacing w:val="0"/>
          <w:kern w:val="0"/>
          <w:sz w:val="30"/>
          <w:szCs w:val="30"/>
          <w:shd w:val="clear" w:fill="FFFFFF"/>
          <w:lang w:val="en-US" w:eastAsia="zh-CN" w:bidi="ar"/>
        </w:rPr>
        <w:t>本指引施行前已经获得中国证监会核准或注册的基金，符合法律法规、基金合同和本指引的要求，在更新招募说明书并公告后可参与融资业务和转融通证券出借业务。</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第六条 【转融券收入安排】</w:t>
      </w:r>
      <w:r>
        <w:rPr>
          <w:rFonts w:hint="eastAsia" w:ascii="仿宋" w:hAnsi="仿宋" w:eastAsia="仿宋" w:cs="仿宋"/>
          <w:b w:val="0"/>
          <w:i w:val="0"/>
          <w:caps w:val="0"/>
          <w:color w:val="000000"/>
          <w:spacing w:val="0"/>
          <w:kern w:val="0"/>
          <w:sz w:val="30"/>
          <w:szCs w:val="30"/>
          <w:shd w:val="clear" w:fill="FFFFFF"/>
          <w:lang w:val="en-US" w:eastAsia="zh-CN" w:bidi="ar"/>
        </w:rPr>
        <w:t>基金管理人运用基金财产参与转融通证券出借交易所获得的财产和收益，归入基金财产。</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第七条 【信息披露】</w:t>
      </w:r>
      <w:r>
        <w:rPr>
          <w:rFonts w:hint="eastAsia" w:ascii="仿宋" w:hAnsi="仿宋" w:eastAsia="仿宋" w:cs="仿宋"/>
          <w:b w:val="0"/>
          <w:i w:val="0"/>
          <w:caps w:val="0"/>
          <w:color w:val="000000"/>
          <w:spacing w:val="0"/>
          <w:kern w:val="0"/>
          <w:sz w:val="30"/>
          <w:szCs w:val="30"/>
          <w:shd w:val="clear" w:fill="FFFFFF"/>
          <w:lang w:val="en-US" w:eastAsia="zh-CN" w:bidi="ar"/>
        </w:rPr>
        <w:t>本指引施行后申请募集的基金，拟参与融资融券和转融通证券出借交易的，应当在基金合同、招募说明书、产品方案等募集申报材料中列明融资融券和转融通证券出借交易方案等相关内容。基金应当在季度报告、半年度报告、年度报告等定期报告和招募说明书（更新）等文件中披露参与融资融券和转融通证券出借交易情况，包括投资策略、业务开展情况、损益情况、风险及其管理情况等。</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第八条 【风险控制】</w:t>
      </w:r>
      <w:r>
        <w:rPr>
          <w:rFonts w:hint="eastAsia" w:ascii="仿宋" w:hAnsi="仿宋" w:eastAsia="仿宋" w:cs="仿宋"/>
          <w:b w:val="0"/>
          <w:i w:val="0"/>
          <w:caps w:val="0"/>
          <w:color w:val="000000"/>
          <w:spacing w:val="0"/>
          <w:sz w:val="30"/>
          <w:szCs w:val="30"/>
          <w:shd w:val="clear" w:fill="FFFFFF"/>
        </w:rPr>
        <w:t>基金管理人参与融资融券及转融通证券出借业务应当综合衡量现阶段的风险管理水平、技术系统和专业人员准备情况，建立相关业务流程和风险控制制度等并报公司董事会批准。在开展业务过程中，基金管理人应切实做好流动性风险和信用风险管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第九条 【估值核算】</w:t>
      </w:r>
      <w:r>
        <w:rPr>
          <w:rFonts w:hint="eastAsia" w:ascii="仿宋" w:hAnsi="仿宋" w:eastAsia="仿宋" w:cs="仿宋"/>
          <w:b w:val="0"/>
          <w:i w:val="0"/>
          <w:caps w:val="0"/>
          <w:color w:val="000000"/>
          <w:spacing w:val="0"/>
          <w:kern w:val="0"/>
          <w:sz w:val="30"/>
          <w:szCs w:val="30"/>
          <w:shd w:val="clear" w:fill="FFFFFF"/>
          <w:lang w:val="en-US" w:eastAsia="zh-CN" w:bidi="ar"/>
        </w:rPr>
        <w:t>基金管理人和托管人应当根据相关规定，在参与融资融券及转融通业务前，明确交易结算模式，包括各方在交易执行、资金划拨、资金清算、会计核算、担保品存管等业务中的权利和义务，建立资金安全保障机制。基金托管人应当加强对基金参与融资融券和转融通证券出借交易的监督、核查和风险控制，定期向基金业协会报送相关风险指标，切实保护基金份额持有人的合法权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第十条 【基金评价】</w:t>
      </w:r>
      <w:r>
        <w:rPr>
          <w:rFonts w:hint="eastAsia" w:ascii="仿宋" w:hAnsi="仿宋" w:eastAsia="仿宋" w:cs="仿宋"/>
          <w:b w:val="0"/>
          <w:i w:val="0"/>
          <w:caps w:val="0"/>
          <w:color w:val="000000"/>
          <w:spacing w:val="0"/>
          <w:kern w:val="0"/>
          <w:sz w:val="30"/>
          <w:szCs w:val="30"/>
          <w:shd w:val="clear" w:fill="FFFFFF"/>
          <w:lang w:val="en-US" w:eastAsia="zh-CN" w:bidi="ar"/>
        </w:rPr>
        <w:t>基金评价机构在基金评价中应当对参与融资融券及转融通证券出借业务的基金单独分类，不得混合评价。</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第十一条 【大集合参与】</w:t>
      </w:r>
      <w:r>
        <w:rPr>
          <w:rFonts w:hint="eastAsia" w:ascii="仿宋" w:hAnsi="仿宋" w:eastAsia="仿宋" w:cs="仿宋"/>
          <w:b w:val="0"/>
          <w:i w:val="0"/>
          <w:caps w:val="0"/>
          <w:color w:val="000000"/>
          <w:spacing w:val="0"/>
          <w:kern w:val="0"/>
          <w:sz w:val="30"/>
          <w:szCs w:val="30"/>
          <w:shd w:val="clear" w:fill="FFFFFF"/>
          <w:lang w:val="en-US" w:eastAsia="zh-CN" w:bidi="ar"/>
        </w:rPr>
        <w:t>证券公司管理的投资者超过200人的集合资产管理计划，参与融资融券及转融通证券出借业务可以按照相关法律法规和合同约定，参照本指引执行。</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第十二条</w:t>
      </w:r>
      <w:r>
        <w:rPr>
          <w:rFonts w:hint="eastAsia" w:ascii="仿宋" w:hAnsi="仿宋" w:eastAsia="仿宋" w:cs="仿宋"/>
          <w:b w:val="0"/>
          <w:i w:val="0"/>
          <w:caps w:val="0"/>
          <w:color w:val="000000"/>
          <w:spacing w:val="0"/>
          <w:kern w:val="0"/>
          <w:sz w:val="30"/>
          <w:szCs w:val="30"/>
          <w:shd w:val="clear" w:fill="FFFFFF"/>
          <w:lang w:val="en-US" w:eastAsia="zh-CN" w:bidi="ar"/>
        </w:rPr>
        <w:t> 本指引自公布之日起施行。</w:t>
      </w:r>
    </w:p>
    <w:p>
      <w:pPr>
        <w:keepNext w:val="0"/>
        <w:keepLines w:val="0"/>
        <w:pageBreakBefore w:val="0"/>
        <w:widowControl w:val="0"/>
        <w:kinsoku/>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190A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2018-01-04T06:35:04Z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